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-108.0" w:type="dxa"/>
        <w:tblLayout w:type="fixed"/>
        <w:tblLook w:val="0000"/>
      </w:tblPr>
      <w:tblGrid>
        <w:gridCol w:w="9636"/>
        <w:tblGridChange w:id="0">
          <w:tblGrid>
            <w:gridCol w:w="9636"/>
          </w:tblGrid>
        </w:tblGridChange>
      </w:tblGrid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b w:val="1"/>
                <w:smallCaps w:val="1"/>
                <w:color w:val="1f497d"/>
                <w:sz w:val="56"/>
                <w:szCs w:val="5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1f497d"/>
                <w:sz w:val="56"/>
                <w:szCs w:val="56"/>
              </w:rPr>
              <w:drawing>
                <wp:inline distB="0" distT="0" distL="0" distR="0">
                  <wp:extent cx="3461978" cy="1237271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978" cy="12372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200" w:before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Style w:val="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b w:val="1"/>
                <w:smallCaps w:val="1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56"/>
                <w:szCs w:val="56"/>
                <w:rtl w:val="0"/>
              </w:rPr>
              <w:t xml:space="preserve">Informacja o realizowanej</w:t>
              <w:br w:type="textWrapping"/>
              <w:t xml:space="preserve">strategii podatkowej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before="200" w:line="240" w:lineRule="auto"/>
              <w:jc w:val="both"/>
              <w:rPr>
                <w:rFonts w:ascii="Cambria" w:cs="Cambria" w:eastAsia="Cambria" w:hAnsi="Cambria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2.77343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000000"/>
                <w:sz w:val="36"/>
                <w:szCs w:val="36"/>
                <w:rtl w:val="0"/>
              </w:rPr>
              <w:t xml:space="preserve">Przygotowana przez</w:t>
            </w:r>
          </w:p>
          <w:p w:rsidR="00000000" w:rsidDel="00000000" w:rsidP="00000000" w:rsidRDefault="00000000" w:rsidRPr="00000000" w14:paraId="00000009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both"/>
              <w:rPr>
                <w:rFonts w:ascii="Cambria" w:cs="Cambria" w:eastAsia="Cambria" w:hAnsi="Cambria"/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b w:val="1"/>
                <w:smallCaps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b w:val="1"/>
                <w:smallCaps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44"/>
                <w:szCs w:val="44"/>
                <w:rtl w:val="0"/>
              </w:rPr>
              <w:t xml:space="preserve">Podatkową Grupę Kapitałową Veolia</w:t>
            </w:r>
          </w:p>
          <w:p w:rsidR="00000000" w:rsidDel="00000000" w:rsidP="00000000" w:rsidRDefault="00000000" w:rsidRPr="00000000" w14:paraId="0000000C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b w:val="1"/>
                <w:smallCaps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both"/>
              <w:rPr>
                <w:rFonts w:ascii="Cambria" w:cs="Cambria" w:eastAsia="Cambria" w:hAnsi="Cambria"/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Subtitle"/>
              <w:keepNext w:val="0"/>
              <w:keepLines w:val="0"/>
              <w:pageBreakBefore w:val="0"/>
              <w:spacing w:after="0" w:before="200" w:line="240" w:lineRule="auto"/>
              <w:jc w:val="center"/>
              <w:rPr>
                <w:rFonts w:ascii="Cambria" w:cs="Cambria" w:eastAsia="Cambria" w:hAnsi="Cambria"/>
                <w:b w:val="1"/>
                <w:smallCaps w:val="1"/>
                <w:color w:val="424456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000000"/>
                <w:sz w:val="36"/>
                <w:szCs w:val="36"/>
                <w:rtl w:val="0"/>
              </w:rPr>
              <w:t xml:space="preserve">za rok podatkowy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color w:val="000000"/>
                <w:sz w:val="36"/>
                <w:szCs w:val="36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00" w:before="200" w:line="276" w:lineRule="auto"/>
        <w:jc w:val="both"/>
        <w:rPr>
          <w:rFonts w:ascii="Cambria" w:cs="Cambria" w:eastAsia="Cambria" w:hAnsi="Cambria"/>
          <w:b w:val="1"/>
          <w:color w:val="36609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1"/>
          <w:smallCaps w:val="1"/>
          <w:color w:val="ff0000"/>
          <w:sz w:val="30"/>
          <w:szCs w:val="30"/>
          <w:rtl w:val="0"/>
        </w:rPr>
        <w:t xml:space="preserve">Spis treści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tabs>
              <w:tab w:val="right" w:pos="9025.511811023624"/>
            </w:tabs>
            <w:spacing w:before="8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Skróty i definicje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dcrtdnfawlt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zasady Grupy Veolia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_bdcrtdnfawlt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ocochyzxzrz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o realizowanej strategii podatkowej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_socochyzxzrz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kj29eqszp8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_wkj29eqszp88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bk7dm2zv19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Procesy i procedury dotyczące wykonywania obowiązków podatkowych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_2bk7dm2zv191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42by0cy6kf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o dobrowolnych formach współpracy z organami Krajowej Administracji Skarbowej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_u42by0cy6kf4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bxusyeluw1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Informacje o realizacji przez podatnika obowiązków podatkowych na terytorium Rzeczypospolitej Polskiej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_ubxusyeluw13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jo0j71n3ca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Przekazane informacje o schematach podatkowych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_kjo0j71n3cal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d23vn2qmszw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Transakcje z podmiotami powiązanymi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_wd23vn2qmszw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pbm2fofexik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Działania restrukturyzacyjne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_pbm2fofexike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025.511811023624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qd6xgttr8x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Złożone wnioski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_3rqd6xgttr8x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025.511811023624"/>
            </w:tabs>
            <w:spacing w:after="80" w:before="60" w:line="240" w:lineRule="auto"/>
            <w:ind w:left="36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6yybxew51av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Rozliczenia podatkowe z rajami podatkowymi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_e6yybxew51av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E">
      <w:pPr>
        <w:pageBreakBefore w:val="0"/>
        <w:spacing w:after="200" w:line="276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ageBreakBefore w:val="0"/>
        <w:numPr>
          <w:ilvl w:val="0"/>
          <w:numId w:val="4"/>
        </w:numPr>
        <w:spacing w:after="200" w:line="276" w:lineRule="auto"/>
        <w:ind w:left="432"/>
        <w:jc w:val="both"/>
        <w:rPr>
          <w:b w:val="1"/>
          <w:smallCaps w:val="1"/>
          <w:sz w:val="30"/>
          <w:szCs w:val="30"/>
        </w:rPr>
      </w:pPr>
      <w:bookmarkStart w:colFirst="0" w:colLast="0" w:name="_1fob9te" w:id="2"/>
      <w:bookmarkEnd w:id="2"/>
      <w:r w:rsidDel="00000000" w:rsidR="00000000" w:rsidRPr="00000000">
        <w:rPr>
          <w:rFonts w:ascii="Cambria" w:cs="Cambria" w:eastAsia="Cambria" w:hAnsi="Cambria"/>
          <w:b w:val="1"/>
          <w:smallCaps w:val="1"/>
          <w:color w:val="ff0000"/>
          <w:sz w:val="30"/>
          <w:szCs w:val="30"/>
          <w:rtl w:val="0"/>
        </w:rPr>
        <w:t xml:space="preserve">Skróty i definicje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Skróty i definicje zastosowane w dalszej części informacji: </w:t>
      </w:r>
    </w:p>
    <w:tbl>
      <w:tblPr>
        <w:tblStyle w:val="Table2"/>
        <w:tblW w:w="9300.0" w:type="dxa"/>
        <w:jc w:val="left"/>
        <w:tblInd w:w="-115.0" w:type="dxa"/>
        <w:tblBorders>
          <w:insideV w:color="000000" w:space="0" w:sz="4" w:val="single"/>
        </w:tblBorders>
        <w:tblLayout w:type="fixed"/>
        <w:tblLook w:val="0000"/>
      </w:tblPr>
      <w:tblGrid>
        <w:gridCol w:w="2265"/>
        <w:gridCol w:w="7035"/>
        <w:tblGridChange w:id="0">
          <w:tblGrid>
            <w:gridCol w:w="2265"/>
            <w:gridCol w:w="70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PGK Veolia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Podatkowa Grupa Kapitałowa Veolia (NIP: 1080021038)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Veolia Polska, VPOL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Veolia Energia Polska S.A. z siedzibą w Warszawie (NIP: 9451647866)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Veolia Poznań, VPOZ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Veolia Energia Poznań S.A. z siedzibą w Poznaniu (NIP: 7770000755)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Veolia Łódź, VLOD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Veolia Energia Łódź S.A. z siedzibą w Łodzi (NIP: 7280018564)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Veolia Industry, VIND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Veolia Industry Polska Sp. z o.o. z siedzibą w Poznaniu (NIP: 5252318253)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VECP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Veolia Energy Contracting Poland Sp. z o.o. z siedzibą w Warszawie (NIP: 5213589769)</w:t>
            </w:r>
          </w:p>
        </w:tc>
      </w:tr>
      <w:tr>
        <w:trPr>
          <w:cantSplit w:val="0"/>
          <w:trHeight w:val="518.837890625000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Veolia CUW, VCUW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Veolia Centrum Usług Wspólnych Sp. z o.o. z siedzibą w Poznaniu (NIP: 7010029635)</w:t>
            </w:r>
          </w:p>
        </w:tc>
      </w:tr>
      <w:tr>
        <w:trPr>
          <w:cantSplit w:val="0"/>
          <w:trHeight w:val="518.837890625000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VWAW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Veolia Energia Warszawa S.A. (NIP: 5250005656)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UPDOP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Ustawa z dnia 15 lutego 1992 r. o podatku dochodowym od osób prawnych (Dz.U. z 2021 r. poz. 1800, tj. ze zm.)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UPDOF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Ustawa z dnia 15 lutego 1992 r. o podatku dochodowym od osób fizycznych (Dz.U. z 2021 r. poz. 1128, tj. ze zm.)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UPTU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Ustawa z dnia 11 marca 2004 r. o podatku od towarów i usług (Dz.U. z 2022 r. poz. 931, tj. ze zm.)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Ustawa z dnia 29 sierpnia 1997 r. - Ordynacja podatkowa (Dz.U. z 2021 r. poz. 1540, tj. ze zm.)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Podatek dochodowy od osób prawnych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VAT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Podatek od towarów i usług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PCC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Podatek od czynności cywilnoprawnych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Rok Podatkowy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Rok podatkowy trwający od 1 stycznia 2021 r. do 31 grudnia 2021 r.</w:t>
            </w:r>
          </w:p>
        </w:tc>
      </w:tr>
    </w:tbl>
    <w:p w:rsidR="00000000" w:rsidDel="00000000" w:rsidP="00000000" w:rsidRDefault="00000000" w:rsidRPr="00000000" w14:paraId="00000043">
      <w:pPr>
        <w:pStyle w:val="Heading1"/>
        <w:spacing w:after="200" w:line="276" w:lineRule="auto"/>
        <w:ind w:left="0" w:firstLine="0"/>
        <w:jc w:val="both"/>
        <w:rPr>
          <w:rFonts w:ascii="Cambria" w:cs="Cambria" w:eastAsia="Cambria" w:hAnsi="Cambria"/>
          <w:b w:val="1"/>
          <w:smallCaps w:val="1"/>
          <w:color w:val="ff0000"/>
          <w:sz w:val="30"/>
          <w:szCs w:val="30"/>
          <w:highlight w:val="yellow"/>
        </w:rPr>
      </w:pPr>
      <w:bookmarkStart w:colFirst="0" w:colLast="0" w:name="_w7so4gt7fgue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numPr>
          <w:ilvl w:val="0"/>
          <w:numId w:val="4"/>
        </w:numPr>
        <w:spacing w:after="200" w:line="276" w:lineRule="auto"/>
        <w:ind w:left="432"/>
        <w:jc w:val="both"/>
        <w:rPr>
          <w:b w:val="1"/>
          <w:smallCaps w:val="1"/>
          <w:sz w:val="30"/>
          <w:szCs w:val="30"/>
        </w:rPr>
      </w:pPr>
      <w:bookmarkStart w:colFirst="0" w:colLast="0" w:name="_bdcrtdnfawlt" w:id="4"/>
      <w:bookmarkEnd w:id="4"/>
      <w:r w:rsidDel="00000000" w:rsidR="00000000" w:rsidRPr="00000000">
        <w:rPr>
          <w:rFonts w:ascii="Cambria" w:cs="Cambria" w:eastAsia="Cambria" w:hAnsi="Cambria"/>
          <w:b w:val="1"/>
          <w:smallCaps w:val="1"/>
          <w:color w:val="ff0000"/>
          <w:sz w:val="30"/>
          <w:szCs w:val="30"/>
          <w:rtl w:val="0"/>
        </w:rPr>
        <w:t xml:space="preserve">Podstawowe zasady Grupy Veolia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nadrzędnym Grupy Veolia jest prowadzenie działalności w uczciwy i etyczny sposób (Wartości Grupy Veolia). Wartości Grupy Veolia wyznaczają standardy i zachowania, które spółki z Grupy Veolia realizują jako podmioty gospodarcze.</w:t>
      </w:r>
    </w:p>
    <w:p w:rsidR="00000000" w:rsidDel="00000000" w:rsidP="00000000" w:rsidRDefault="00000000" w:rsidRPr="00000000" w14:paraId="00000046">
      <w:pPr>
        <w:pageBreakBefore w:val="0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Grupa Veolia zapewnia przestrzeganie przepisów prawa podatkowego poprzez stosowane procedury oraz procesy, a przede wszystkim poprzez wykwalifikowany personel. Celem Grupy Veolia jest bowiem prawidłowe wypełnianie wszystkich obowiązków podatkowych nałożonych przez polskie prawo.</w:t>
      </w:r>
    </w:p>
    <w:p w:rsidR="00000000" w:rsidDel="00000000" w:rsidP="00000000" w:rsidRDefault="00000000" w:rsidRPr="00000000" w14:paraId="00000048">
      <w:pPr>
        <w:pageBreakBefore w:val="0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Grupa Veolia jest świadoma tego, że uiszczane przez nią podatki pomagają finansować kluczowe usługi publiczne, inwestycje w ludzi i inwestycje w infrastrukturę, aby wesprzeć przyszły wzrost. Polska, ale także inne kraje na świecie, nie mogą funkcjonować i rozwijać się bez wpływów z podatków płaconych przez przedsiębiorstwa różnej wielkości działające we wszystkich sektorach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Mając na uwadze powyższe, Grupa Veolia stosuje się do następujących zasad: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Przestrzeganie wszelkich wymagań prawnych w odniesieniu do kwestii podatkowych. W szczególności przestrzeganie terminowego składania deklaracji podatkowych oraz dokonywanie terminowych płatności podatków.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Podejmowanie bieżących decyzji biznesowych z uwzględnieniem wszelkich kwestii podatkowych.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Niestosowanie zarówno sztucznego sposobu działania, jak i agresywnego podejścia przy interpretacji przepisów podatkowych.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Działanie w zgodzie z Kodeksem Etycznym Veolii.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Proaktywna i przejrzysta współpraca z organami podatkowymi oraz bieżąca weryfikacja podejścia do zgodnej z literą prawa interpretacji przepisów podatkowych.</w:t>
      </w:r>
    </w:p>
    <w:p w:rsidR="00000000" w:rsidDel="00000000" w:rsidP="00000000" w:rsidRDefault="00000000" w:rsidRPr="00000000" w14:paraId="00000051">
      <w:pPr>
        <w:pageBreakBefore w:val="0"/>
        <w:spacing w:after="120" w:before="120" w:line="276" w:lineRule="auto"/>
        <w:jc w:val="both"/>
        <w:rPr>
          <w:rFonts w:ascii="Cambria" w:cs="Cambria" w:eastAsia="Cambria" w:hAnsi="Cambria"/>
          <w:b w:val="1"/>
          <w:color w:val="ff0000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pageBreakBefore w:val="0"/>
        <w:numPr>
          <w:ilvl w:val="0"/>
          <w:numId w:val="4"/>
        </w:numPr>
        <w:spacing w:after="200" w:line="276" w:lineRule="auto"/>
        <w:ind w:left="432"/>
        <w:jc w:val="both"/>
        <w:rPr>
          <w:b w:val="1"/>
          <w:smallCaps w:val="1"/>
          <w:sz w:val="30"/>
          <w:szCs w:val="30"/>
        </w:rPr>
      </w:pPr>
      <w:bookmarkStart w:colFirst="0" w:colLast="0" w:name="_socochyzxzrz" w:id="5"/>
      <w:bookmarkEnd w:id="5"/>
      <w:r w:rsidDel="00000000" w:rsidR="00000000" w:rsidRPr="00000000">
        <w:rPr>
          <w:rFonts w:ascii="Cambria" w:cs="Cambria" w:eastAsia="Cambria" w:hAnsi="Cambria"/>
          <w:b w:val="1"/>
          <w:smallCaps w:val="1"/>
          <w:color w:val="ff0000"/>
          <w:sz w:val="30"/>
          <w:szCs w:val="30"/>
          <w:rtl w:val="0"/>
        </w:rPr>
        <w:t xml:space="preserve">Informacja o realizowanej strategii podatkowej</w:t>
      </w:r>
    </w:p>
    <w:p w:rsidR="00000000" w:rsidDel="00000000" w:rsidP="00000000" w:rsidRDefault="00000000" w:rsidRPr="00000000" w14:paraId="00000053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wkj29eqszp88" w:id="6"/>
      <w:bookmarkEnd w:id="6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Wstęp</w:t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Informacja o realizowanej strategii podatkowej zawarta w niniejszym dokumencie została sporządzona i podana do publicznej wiadomości na podstawie art. 27c ust. 1 w zw. z art. 27b ust. 2 pkt 1 UPDOP i dotyczy  działalności PGK Veolia w Roku Podatkowym.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PGK Veolia została utworzona na podstawie przepisów UPDOP przez następujące spółki: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Veolia Polska,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Veolia Poznań,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Veolia Łódź,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Veolia Industry,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VECP,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Veolia CUW.</w:t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PGK Veolia jest podatnikiem podatku CIT. W zakresie podatków innych niż CIT podatnikami są wskazane powyżej spółki.</w:t>
      </w:r>
    </w:p>
    <w:p w:rsidR="00000000" w:rsidDel="00000000" w:rsidP="00000000" w:rsidRDefault="00000000" w:rsidRPr="00000000" w14:paraId="0000005F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Spółki wchodzące w skład PGK Veolia wyoutsourcowały funkcję podatkową do Veolia CUW, która jest podmiotem profesjonalnym w zakresie prowadzenia ksiąg rachunkowych i rozliczeń podatkowych.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2bk7dm2zv191" w:id="7"/>
      <w:bookmarkEnd w:id="7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Procesy i procedury dotyczące wykonywania obowiązków podatkowych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PGK Veolia oraz spółki wchodzące w jej skład stosowały w Roku Podatkowym niżej wymienione procesy i procedury dotyczące zarządzania wykonywaniem obowiązków wynikających z przepisów prawa podatkowego i zapewniających ich prawidłowe wykonanie.</w:t>
      </w:r>
      <w:r w:rsidDel="00000000" w:rsidR="00000000" w:rsidRPr="00000000">
        <w:rPr>
          <w:rtl w:val="0"/>
        </w:rPr>
      </w:r>
    </w:p>
    <w:tbl>
      <w:tblPr>
        <w:tblStyle w:val="Table3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8580"/>
        <w:tblGridChange w:id="0">
          <w:tblGrid>
            <w:gridCol w:w="390"/>
            <w:gridCol w:w="85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Nazwa procesu/procedury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Sporządzanie deklaracji VAT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Sporządzanie innych deklaracji i informacji statystycznych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Sporządzanie deklaracji podatku od nieruchomości, środków transportowych, podatku rolnego i leśnego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Naliczanie i księgowanie podatku dochodowego od osób prawnych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Sporządzanie deklaracji podatku akcyzowego od energii elektrycznej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Sporządzanie pozostałych deklaracji akcyzowych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Akceptacja i przesyłanie deklaracji do właściwych urzędów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Raportowanie podatkowe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Kontrole podatkowe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Interpretacje podatkowe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Doradztwo w zakresie finansów i podatków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Postępowanie podatkowe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Sporządzanie cen transferowych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Przeglądy podatkowe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Rozliczanie podatku dochodowego od osób prawnych w Podatkowej Grupie Kapitałowej Veolia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Procedura w zakresie przeciwdziałania niewywiązania się z obowiązku przekazywania informacji o schematach podatkowych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Procedura weryfikacji, naliczenia i poboru podatku u źródła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Procedury zakupowe, w tym m.in. procedura funkcjonująca pod nazwą “Zakupy materiałów i usług”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Polityka Compliance Grupy Veolia w Polsce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Instrukcja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rozliczania ulgi B+R oraz IP BOX</w:t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Ponadto, w ramach należytej staranności dla potrzeb VAT spółki wchodzące w skład PGK Veolia stosowały w Roku Podatkowym proces obejmujący: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5"/>
        </w:numPr>
        <w:spacing w:after="0" w:afterAutospacing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weryfikację zarejestrowania kontrahenta dla potrzeb VAT na podstawie tzw. białej listy podatników VAT prowadzonej przez Szefa Krajowej Administracji Skarbowej zgodnie z art. 96b ust. 1 UPTU,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weryfikację wskazania rachunku bankowego kontrahenta na tzw. białej listy podatników VAT prowadzonej przez Szefa Krajowej Administracji Skarbowej zgodnie z art. 96b ust. 1 UPTU,</w:t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5"/>
        </w:numPr>
        <w:spacing w:after="200" w:before="0" w:beforeAutospacing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do zasady dokonywanie płatności z zastosowaniem mechanizmu podzielonej płatności.</w:t>
      </w:r>
    </w:p>
    <w:p w:rsidR="00000000" w:rsidDel="00000000" w:rsidP="00000000" w:rsidRDefault="00000000" w:rsidRPr="00000000" w14:paraId="00000091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Veolia CUW stosowała procedurę funkcjonującą pod nazwą “Baza informacji podatkowych”,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która to procedura obejmuje m.in. obowiązek bieżącego monitorowania zmian w przepisach podatkowych oraz informowanie spółek z Grupy Veolia o zmianach mogących mieć wpływ na ich działalność.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Prawidłową realizację procesów oraz procedur dotyczących zarządzania wykonywaniem obowiązków wynikających z przepisów prawa podatkowego w Roku Podatkowym zapewniały zasady dotyczące nadzoru oraz kontroli wewnętrznej obowiązujące w spółkach wchodzących w skład PGK Veolia.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u42by0cy6kf4" w:id="8"/>
      <w:bookmarkEnd w:id="8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Informacja o dobrowolnych formach współpracy z organami Krajowej Administracji Skarbowej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PGK Veolia oraz spółki wchodzące w jej skład nie stosowały w Roku Podatkowym dobrowolnych form współpracy z organami Krajowej Administracji Skarbowej.</w:t>
      </w:r>
    </w:p>
    <w:p w:rsidR="00000000" w:rsidDel="00000000" w:rsidP="00000000" w:rsidRDefault="00000000" w:rsidRPr="00000000" w14:paraId="00000095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ubxusyeluw13" w:id="9"/>
      <w:bookmarkEnd w:id="9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Informacje o realizacji przez podatnika obowiązków podatkowych na terytorium Rzeczypospolitej Polskiej</w:t>
      </w:r>
    </w:p>
    <w:p w:rsidR="00000000" w:rsidDel="00000000" w:rsidP="00000000" w:rsidRDefault="00000000" w:rsidRPr="00000000" w14:paraId="00000096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PGK Veolia dokonywała rozliczeń z tytułu podatku CIT. PGK Veolia w terminach przewidzianych przepisami UPDOP: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2"/>
        </w:numPr>
        <w:spacing w:after="0" w:afterAutospacing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dokonała terminowej płatności zaliczek na poczet CIT,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złożyła deklarację roczną CIT-8AB wraz z informacją CIT-ST, CIT/PGK, CIT-D, CIT/BR oraz CIT/WZG,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2"/>
        </w:numPr>
        <w:spacing w:after="200" w:before="0" w:beforeAutospacing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uregulowała zobowiązanie podatkowe w podatku CIT wynikające ze złożonej deklaracji.</w:t>
      </w:r>
    </w:p>
    <w:p w:rsidR="00000000" w:rsidDel="00000000" w:rsidP="00000000" w:rsidRDefault="00000000" w:rsidRPr="00000000" w14:paraId="0000009A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Rok Podatkowy spółki wchodzące w skład PGK Veolia złożyły również w terminach przewidzianych przepisami UPDOP wszelkie wymagane prawem informacje dot. rozliczenia podatku CIT,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tym działając jako płatnik podatku u źródła (informacje IFT-2R)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oraz informację o cenach transferowych (TPR). </w:t>
      </w:r>
    </w:p>
    <w:p w:rsidR="00000000" w:rsidDel="00000000" w:rsidP="00000000" w:rsidRDefault="00000000" w:rsidRPr="00000000" w14:paraId="0000009B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zabezpieczenia prawidłowości dokonywanych rozliczeń podatkowych PGK Veolia oraz spółki wchodzące w jej skład stosowały procesy i procedur podatkowe wskazane w punkcie 3.2 niniejszego dokumentu. </w:t>
      </w:r>
    </w:p>
    <w:p w:rsidR="00000000" w:rsidDel="00000000" w:rsidP="00000000" w:rsidRDefault="00000000" w:rsidRPr="00000000" w14:paraId="0000009C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Łączna wartość danin publicznych zapłaconych przez PGK Veolia oraz spółki wchodzące w jej skład za Rok Podatkowy wyniosła ponad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389 mln złotych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Poniżej przedstawiono wartość danin publicznych uiszczonych przez PGK Veolia oraz spółki wchodzące w jej skład w podziale na poszczególne daniny.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00" w:before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3657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2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kjo0j71n3cal" w:id="10"/>
      <w:bookmarkEnd w:id="10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rzekazane informacje o schematach podatkowych</w:t>
      </w:r>
    </w:p>
    <w:p w:rsidR="00000000" w:rsidDel="00000000" w:rsidP="00000000" w:rsidRDefault="00000000" w:rsidRPr="00000000" w14:paraId="000000A0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Spółki wchodzące w skład PGK Veolia nie były zobligowane w Roku Podatkowym do przekazania Szefowi Krajowej Administracji Skarbowej informacji o schematach podatkowych, o których mowa w art. 86a § 1 pkt 10 OP.</w:t>
      </w:r>
    </w:p>
    <w:p w:rsidR="00000000" w:rsidDel="00000000" w:rsidP="00000000" w:rsidRDefault="00000000" w:rsidRPr="00000000" w14:paraId="000000A1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wd23vn2qmszw" w:id="11"/>
      <w:bookmarkEnd w:id="11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Tra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nsakcje z podmiotami powiązanymi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spółki wchodzące w skład PGK Veolia realizowały przedstawione w poniższej tabeli transakcje z podmiotami powiązanymi w rozumieniu art. 11a ust. 1 pkt 4 UPDOP, których wartość przekracza 5% sumy bilansowej aktywów w rozumieniu przepisów o rachunkowości, ustalonych na podstawie ostatniego zatwierdzonego sprawozdania finansowego danej spółki.</w:t>
      </w:r>
    </w:p>
    <w:p w:rsidR="00000000" w:rsidDel="00000000" w:rsidP="00000000" w:rsidRDefault="00000000" w:rsidRPr="00000000" w14:paraId="000000A3">
      <w:pPr>
        <w:pageBreakBefore w:val="0"/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0.0" w:type="dxa"/>
        <w:jc w:val="left"/>
        <w:tblInd w:w="-1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90"/>
        <w:gridCol w:w="735"/>
        <w:gridCol w:w="720"/>
        <w:gridCol w:w="675"/>
        <w:gridCol w:w="705"/>
        <w:gridCol w:w="660"/>
        <w:gridCol w:w="645"/>
        <w:tblGridChange w:id="0">
          <w:tblGrid>
            <w:gridCol w:w="6090"/>
            <w:gridCol w:w="735"/>
            <w:gridCol w:w="720"/>
            <w:gridCol w:w="675"/>
            <w:gridCol w:w="705"/>
            <w:gridCol w:w="660"/>
            <w:gridCol w:w="6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Nazwa transakcji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VPOL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VLOD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VPOZ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VCUW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VECP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VIND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Umowa pożyczki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Usługa centralnego zarządzania środkami finansowymi (cash-pooling dodatni)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Sprzedaż węgla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Zakup węgla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Sprzedaż biomasy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Sprzedaż energii elektrycznej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Zakup energii elektrycznej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Sprzedaż usług niematerialnych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Sprzedaż gazu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</w:tr>
      <w:tr>
        <w:trPr>
          <w:cantSplit w:val="0"/>
          <w:trHeight w:val="475.371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Zakup gazu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6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  </w:t>
            </w:r>
          </w:p>
        </w:tc>
      </w:tr>
    </w:tbl>
    <w:p w:rsidR="00000000" w:rsidDel="00000000" w:rsidP="00000000" w:rsidRDefault="00000000" w:rsidRPr="00000000" w14:paraId="000000F1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spółki wchodzące w skład PGK Veolia stosowały rynkowy poziom cen w transakcjach z podmiotami powiązanymi. </w:t>
      </w:r>
    </w:p>
    <w:p w:rsidR="00000000" w:rsidDel="00000000" w:rsidP="00000000" w:rsidRDefault="00000000" w:rsidRPr="00000000" w14:paraId="000000F2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Spółki wchodzące w skład PGK Veolia dokonały identyfikacji transakcji podlegających obowiązkowi sporządzenia dokumentacji cen transferowych za Rok Podatkowy, opracowały dokumentacje cen transferowych dla tych transakcji oraz zabezpieczyły rynkowy poziom cen przeprowadzonymi analizami porównawczymi.</w:t>
      </w:r>
    </w:p>
    <w:p w:rsidR="00000000" w:rsidDel="00000000" w:rsidP="00000000" w:rsidRDefault="00000000" w:rsidRPr="00000000" w14:paraId="000000F3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Poniższa tabela zawiera natomiast informacje o transakcjach z podmiotami powiązanymi, które spełniają wskazane powyżej warunki, z punktu widzenia całego PGK Veolia.</w:t>
      </w: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40.761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Nazwa transakcji</w:t>
            </w:r>
          </w:p>
        </w:tc>
      </w:tr>
      <w:tr>
        <w:trPr>
          <w:cantSplit w:val="0"/>
          <w:trHeight w:val="265.761718749999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Umowa pożyczki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Usługa centralnego zarządzania środkami finansowymi (cash-pooling dodatni)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left="6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Zakup węgla</w:t>
            </w:r>
          </w:p>
        </w:tc>
      </w:tr>
    </w:tbl>
    <w:p w:rsidR="00000000" w:rsidDel="00000000" w:rsidP="00000000" w:rsidRDefault="00000000" w:rsidRPr="00000000" w14:paraId="000000F8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pbm2fofexike" w:id="12"/>
      <w:bookmarkEnd w:id="12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Działania restrukturyzacyjne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były podjęte działania restrukturyzacyjne przeprowadzone w Grupie Veolia w ramach projektu „One Commerce”. Działania te polegały na wydzieleniu służb handlowych funkcjonujących dotychczas w kluczowych podmiotach Grupy Veolia tj. VWAW, VPOZ oraz VLOD i stworzeniu w strukturach VECP zintegrowanego Działu Handlowego, odpowiedzialnego za sprzedaż i obsługę klienta.</w:t>
      </w:r>
    </w:p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restrukturyzacji była konsolidacja kompetencji w zakresie sprzedaży i obsługi klienta w VECP, która ma pozwolić na ujednolicenie i optymalizację procesów biznesowych poprzez podniesienie skuteczności działania zespołów handlowych i pozwoli na wzrost jakości obsługi klientów VWAW, VPOZ oraz VLOD. Na skutek przeprowadzonych działań VECP stała się podmiotem odpowiedzialnym za wszelkie relacje handlowe z klientem, co pozwoliło na usprawnienie i skrócenie czasu obsługi rozliczeń i łatwiejszy dostęp klientów do danych związanych z ofertą VWAW, VPOZ oraz VLOD.</w:t>
      </w:r>
    </w:p>
    <w:p w:rsidR="00000000" w:rsidDel="00000000" w:rsidP="00000000" w:rsidRDefault="00000000" w:rsidRPr="00000000" w14:paraId="000000F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 dniem 1 stycznia 2022 r. pracownicy służb handlowych VWAW, VPOZ oraz VLOD zostali pracownikami VECP poprzez przejście części zakładów pracy.</w:t>
      </w:r>
    </w:p>
    <w:p w:rsidR="00000000" w:rsidDel="00000000" w:rsidP="00000000" w:rsidRDefault="00000000" w:rsidRPr="00000000" w14:paraId="000000FE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3rqd6xgttr8x" w:id="13"/>
      <w:bookmarkEnd w:id="13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Złożone wnioski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after="200" w:before="20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PGK Veolia nie składała wniosków o wydanie interpretacji przepisów prawa podatkowego, o której mowa w art. 14b OP dla PGK Veolia.</w:t>
      </w:r>
    </w:p>
    <w:p w:rsidR="00000000" w:rsidDel="00000000" w:rsidP="00000000" w:rsidRDefault="00000000" w:rsidRPr="00000000" w14:paraId="00000100">
      <w:pPr>
        <w:pageBreakBefore w:val="0"/>
        <w:spacing w:after="200" w:before="20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Ze spółek wchodzących w skład PGK Veolia wniosek o wydanie interpretacji przepisów prawa podatkowego, o której mowa w art. 14b OP, złożyła spółka VCUW oraz VPOZ. </w:t>
      </w:r>
    </w:p>
    <w:p w:rsidR="00000000" w:rsidDel="00000000" w:rsidP="00000000" w:rsidRDefault="00000000" w:rsidRPr="00000000" w14:paraId="00000101">
      <w:pPr>
        <w:pageBreakBefore w:val="0"/>
        <w:spacing w:after="200" w:before="20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Wniosek VCUW dotyczył skutków, po stronie płatnika (wynikających z UPDOF), wypłaty pracownikom VCUW ekwiwalentu pokrywającego cały zespół kosztów pracy zdalnej w okresie obowiązywania stanu zagrożenia epidemicznego albo stanu epidemii, ogłoszonego z powodu COVID-19, oraz w okresie 3 miesięcy po ich odwołaniu, jak i po tym okresie. Natomiast wniosek złożony przez VPOZ dotyczył skutków w VAT planowanego dokonania podziału przez wydzielenie.</w:t>
      </w:r>
    </w:p>
    <w:p w:rsidR="00000000" w:rsidDel="00000000" w:rsidP="00000000" w:rsidRDefault="00000000" w:rsidRPr="00000000" w14:paraId="00000102">
      <w:pPr>
        <w:pageBreakBefore w:val="0"/>
        <w:spacing w:after="200" w:before="20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ani PGK Veolia ani spółki wchodzące w jej skład nie złożyły wniosków o wydanie:</w:t>
      </w:r>
    </w:p>
    <w:p w:rsidR="00000000" w:rsidDel="00000000" w:rsidP="00000000" w:rsidRDefault="00000000" w:rsidRPr="00000000" w14:paraId="00000103">
      <w:pPr>
        <w:pageBreakBefore w:val="0"/>
        <w:numPr>
          <w:ilvl w:val="0"/>
          <w:numId w:val="3"/>
        </w:numPr>
        <w:spacing w:after="0" w:afterAutospacing="0" w:before="20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ogólnej interpretacji podatkowej, o której mowa w art. 14a § 1 OP,</w:t>
      </w:r>
    </w:p>
    <w:p w:rsidR="00000000" w:rsidDel="00000000" w:rsidP="00000000" w:rsidRDefault="00000000" w:rsidRPr="00000000" w14:paraId="00000104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wiążącej informacji stawkowej, o której mowa w art. 42a UPTU,</w:t>
      </w:r>
    </w:p>
    <w:p w:rsidR="00000000" w:rsidDel="00000000" w:rsidP="00000000" w:rsidRDefault="00000000" w:rsidRPr="00000000" w14:paraId="00000105">
      <w:pPr>
        <w:pageBreakBefore w:val="0"/>
        <w:numPr>
          <w:ilvl w:val="0"/>
          <w:numId w:val="3"/>
        </w:numPr>
        <w:spacing w:after="200" w:before="0" w:beforeAutospacing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wiążącej informacji akcyzowej, o której mowa w art. 7d ust. 1 ustawy z dnia 6 grudnia 2008 r. o podatku akcyzowym (Dz. U. z 2020 r. poz. 722 i 1747).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2"/>
        <w:pageBreakBefore w:val="0"/>
        <w:numPr>
          <w:ilvl w:val="1"/>
          <w:numId w:val="4"/>
        </w:numPr>
        <w:spacing w:after="200" w:before="200" w:line="276" w:lineRule="auto"/>
        <w:ind w:left="576"/>
        <w:jc w:val="both"/>
        <w:rPr>
          <w:rFonts w:ascii="Cambria" w:cs="Cambria" w:eastAsia="Cambria" w:hAnsi="Cambria"/>
        </w:rPr>
      </w:pPr>
      <w:bookmarkStart w:colFirst="0" w:colLast="0" w:name="_e6yybxew51av" w:id="14"/>
      <w:bookmarkEnd w:id="14"/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Rozliczenia podatkowe z rajami podatkowymi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00" w:before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Roku Podatkowym ani PGK Veolia ani spółki wchodzące w jej skład nie dokonywały rozliczeń podatkowych na terytoriach lub w krajach stosujących szkodliwą konkurencję podatkową wskazanych w aktach wykonawczych wydanych na podstawie art. 11j ust. 2 UPDOP i na podstawie art. 23v ust. 2 ustawy z dnia 26 lipca 1991 r. o podatku dochodowym od osób fizycznych oraz w obwieszczeniu ministra właściwego do spraw finansów publicznych wydanym na podstawie art. 86a § 10 OP.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32" w:hanging="432"/>
      </w:pPr>
      <w:rPr>
        <w:rFonts w:ascii="Cambria" w:cs="Cambria" w:eastAsia="Cambria" w:hAnsi="Cambria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1"/>
        <w:i w:val="0"/>
        <w:smallCaps w:val="0"/>
        <w:strike w:val="0"/>
        <w:color w:val="ff0000"/>
        <w:sz w:val="26"/>
        <w:szCs w:val="26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ff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